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D145" w14:textId="3AFAB863" w:rsidR="004E19A4" w:rsidRPr="004E19A4" w:rsidRDefault="004E19A4" w:rsidP="00232C5B">
      <w:pPr>
        <w:widowControl/>
        <w:spacing w:line="54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</w:pP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科研院关于转发</w:t>
      </w:r>
      <w:r w:rsidR="00232C5B" w:rsidRPr="00232C5B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多物理场高效飞行科学基础与调控机理重大研究计划</w:t>
      </w:r>
      <w:r w:rsidR="00232C5B" w:rsidRPr="00232C5B"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  <w:t>2022年度项目指南</w:t>
      </w: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的通知</w:t>
      </w:r>
    </w:p>
    <w:p w14:paraId="4379E6C9" w14:textId="77777777" w:rsid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787878"/>
          <w:kern w:val="0"/>
          <w:sz w:val="18"/>
          <w:szCs w:val="18"/>
        </w:rPr>
      </w:pPr>
    </w:p>
    <w:p w14:paraId="119DDDAA" w14:textId="71A78A84" w:rsidR="004E19A4" w:rsidRP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各有关院系、各相关老师：</w:t>
      </w:r>
    </w:p>
    <w:p w14:paraId="704D72EF" w14:textId="66453F2A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国家自然科学基金委员会发布了“</w:t>
      </w:r>
      <w:r w:rsidR="00232C5B"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多物理场高效飞行科学基础与调控机理重大研究计划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”，请各有关单位积极组织符合条件的老师申报。</w:t>
      </w:r>
    </w:p>
    <w:p w14:paraId="663F3328" w14:textId="4A9689ED" w:rsidR="004E19A4" w:rsidRPr="004E19A4" w:rsidRDefault="00635219" w:rsidP="004E19A4">
      <w:pPr>
        <w:widowControl/>
        <w:shd w:val="clear" w:color="auto" w:fill="FFFFFF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重点提示</w:t>
      </w:r>
      <w:r w:rsidR="004E19A4" w:rsidRPr="004E19A4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：</w:t>
      </w:r>
    </w:p>
    <w:p w14:paraId="0E2CE955" w14:textId="0C361C0C" w:rsidR="00D95664" w:rsidRDefault="004E19A4" w:rsidP="00757E33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232C5B"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资助培育项目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直接费用约为80万元/项，资助期限为3年，培育项目申请书中研究期限应填写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2023年1月1日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2025年12月31日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；重点支持项目资助直接费用约为300万元/项，资助期限为4年，重点支持项目申请书中研究期限应填写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2023年1月1日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2026年12月31日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14:paraId="56641C78" w14:textId="59A50EEB" w:rsidR="00232C5B" w:rsidRDefault="00A913A8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A913A8">
        <w:rPr>
          <w:rFonts w:hint="eastAsia"/>
        </w:rPr>
        <w:t xml:space="preserve"> </w:t>
      </w:r>
      <w:r w:rsidR="00232C5B"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申请书中的资助类别选择“重大研究计划”，亚类说明选择“培育项目”或“重点支持项目”，附注说明选择“多物理场高效飞行科学基础与调控机理”，受理代码选择</w:t>
      </w:r>
      <w:r w:rsidR="00232C5B"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T02，根据申请的具体研究内容选择不超过5个申请代码。</w:t>
      </w:r>
    </w:p>
    <w:p w14:paraId="2C3A39B8" w14:textId="12E51279" w:rsidR="00232C5B" w:rsidRDefault="00232C5B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. </w:t>
      </w:r>
      <w:r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培育项目和重点支持项目的合作研究单位不得超过</w:t>
      </w:r>
      <w:r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2个。</w:t>
      </w:r>
    </w:p>
    <w:p w14:paraId="73D2C936" w14:textId="77777777" w:rsidR="00232C5B" w:rsidRPr="00232C5B" w:rsidRDefault="00232C5B" w:rsidP="00232C5B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. </w:t>
      </w:r>
      <w:r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申请人在“立项依据与研究内容”部分，应当首先说明申请符合本项目指南中的资助研究方向，以及对解决本重大研究计划核心科学问题、实现本重大研究计划科学目标的贡献。</w:t>
      </w:r>
    </w:p>
    <w:p w14:paraId="79026A85" w14:textId="2A1936D0" w:rsidR="00232C5B" w:rsidRDefault="00300C7D" w:rsidP="00232C5B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. </w:t>
      </w:r>
      <w:r w:rsidR="00232C5B"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如果申请人已经承担与本重大研究计划相关的其他科技计划项目，应当在申请书正文的“研究基础与工作条件”部分论述申请项目与其他相关项目的区别与联系。</w:t>
      </w:r>
    </w:p>
    <w:p w14:paraId="3650FC0C" w14:textId="70B7CDEE" w:rsidR="004E19A4" w:rsidRPr="004E19A4" w:rsidRDefault="004E19A4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我校对该类型项目在国家基金委系统提交申请书截止时间为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2022年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6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月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2</w:t>
      </w:r>
      <w:r w:rsidR="00A913A8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1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日12时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。请有关学院及项目申请人在我校截止时间内递交项目相关材料，逾期不予受理。</w:t>
      </w:r>
    </w:p>
    <w:p w14:paraId="5BE23186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具体项目指南中所述的要求与注意事项见附件。</w:t>
      </w:r>
    </w:p>
    <w:p w14:paraId="0F92C15E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0C10E4E8" w14:textId="4E9421F4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科研院联系人：徐骏军 薛建龙</w:t>
      </w:r>
    </w:p>
    <w:p w14:paraId="7F2A3CC5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邮箱：kyyjcb@zju.edu.cn</w:t>
      </w:r>
    </w:p>
    <w:p w14:paraId="126A3D0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联系电话：88981080</w:t>
      </w:r>
    </w:p>
    <w:p w14:paraId="10B38837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527D5D9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科学技术研究院</w:t>
      </w:r>
    </w:p>
    <w:p w14:paraId="2E7BC810" w14:textId="5D4DF5FD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2022年</w:t>
      </w:r>
      <w:r w:rsid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18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5DB6EAB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4D579E0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14:paraId="61825CEB" w14:textId="77777777" w:rsidR="00232C5B" w:rsidRDefault="00232C5B" w:rsidP="00232C5B">
      <w:pPr>
        <w:widowControl/>
        <w:shd w:val="clear" w:color="auto" w:fill="FFFFFF"/>
        <w:spacing w:line="547" w:lineRule="atLeast"/>
        <w:ind w:firstLine="634"/>
        <w:jc w:val="left"/>
        <w:rPr>
          <w:rStyle w:val="a5"/>
          <w:rFonts w:ascii="仿宋_GB2312" w:eastAsia="仿宋_GB2312"/>
          <w:sz w:val="32"/>
          <w:szCs w:val="32"/>
        </w:rPr>
      </w:pPr>
      <w:r w:rsidRPr="00232C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多物理场高效飞行科学基础与调控机理重大研究计划</w:t>
      </w:r>
      <w:r w:rsidRP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</w:p>
    <w:p w14:paraId="3F4E7BD8" w14:textId="20330CE4" w:rsidR="00C448D6" w:rsidRPr="00232C5B" w:rsidRDefault="00232C5B" w:rsidP="00232C5B">
      <w:pPr>
        <w:widowControl/>
        <w:shd w:val="clear" w:color="auto" w:fill="FFFFFF"/>
        <w:spacing w:line="547" w:lineRule="atLeast"/>
        <w:ind w:firstLine="634"/>
        <w:jc w:val="left"/>
        <w:rPr>
          <w:rStyle w:val="a5"/>
          <w:rFonts w:ascii="仿宋_GB2312" w:eastAsia="仿宋_GB2312"/>
          <w:sz w:val="32"/>
          <w:szCs w:val="32"/>
        </w:rPr>
      </w:pPr>
      <w:r w:rsidRPr="00232C5B">
        <w:rPr>
          <w:rStyle w:val="a5"/>
          <w:rFonts w:ascii="仿宋_GB2312" w:eastAsia="仿宋_GB2312"/>
          <w:sz w:val="32"/>
          <w:szCs w:val="32"/>
        </w:rPr>
        <w:lastRenderedPageBreak/>
        <w:t>https://www.nsfc.gov.cn/publish/portal0/tab434/info85522.htm</w:t>
      </w:r>
    </w:p>
    <w:sectPr w:rsidR="00C448D6" w:rsidRPr="0023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E0BD" w14:textId="77777777" w:rsidR="008204BA" w:rsidRDefault="008204BA" w:rsidP="003C23B4">
      <w:r>
        <w:separator/>
      </w:r>
    </w:p>
  </w:endnote>
  <w:endnote w:type="continuationSeparator" w:id="0">
    <w:p w14:paraId="708BFC5B" w14:textId="77777777" w:rsidR="008204BA" w:rsidRDefault="008204BA" w:rsidP="003C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F62A" w14:textId="77777777" w:rsidR="008204BA" w:rsidRDefault="008204BA" w:rsidP="003C23B4">
      <w:r>
        <w:separator/>
      </w:r>
    </w:p>
  </w:footnote>
  <w:footnote w:type="continuationSeparator" w:id="0">
    <w:p w14:paraId="0A9E6834" w14:textId="77777777" w:rsidR="008204BA" w:rsidRDefault="008204BA" w:rsidP="003C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4"/>
    <w:rsid w:val="000D15FC"/>
    <w:rsid w:val="00232C5B"/>
    <w:rsid w:val="002A6CAD"/>
    <w:rsid w:val="002D378F"/>
    <w:rsid w:val="00300C7D"/>
    <w:rsid w:val="003C23B4"/>
    <w:rsid w:val="004E19A4"/>
    <w:rsid w:val="00635219"/>
    <w:rsid w:val="006738DA"/>
    <w:rsid w:val="006B2910"/>
    <w:rsid w:val="00757E33"/>
    <w:rsid w:val="007A7A41"/>
    <w:rsid w:val="008204BA"/>
    <w:rsid w:val="008D6160"/>
    <w:rsid w:val="00A3420B"/>
    <w:rsid w:val="00A913A8"/>
    <w:rsid w:val="00B50866"/>
    <w:rsid w:val="00B53C7A"/>
    <w:rsid w:val="00C448D6"/>
    <w:rsid w:val="00CE1E0E"/>
    <w:rsid w:val="00CF784C"/>
    <w:rsid w:val="00D95664"/>
    <w:rsid w:val="00DC7E6E"/>
    <w:rsid w:val="00DD28C9"/>
    <w:rsid w:val="00E567B8"/>
    <w:rsid w:val="00EC7592"/>
    <w:rsid w:val="00F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BA60E"/>
  <w15:chartTrackingRefBased/>
  <w15:docId w15:val="{67BD542C-7698-4426-B451-0BFF61F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19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A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E19A4"/>
  </w:style>
  <w:style w:type="character" w:customStyle="1" w:styleId="artiupdate">
    <w:name w:val="arti_update"/>
    <w:basedOn w:val="a0"/>
    <w:rsid w:val="004E19A4"/>
  </w:style>
  <w:style w:type="character" w:customStyle="1" w:styleId="artiviews">
    <w:name w:val="arti_views"/>
    <w:basedOn w:val="a0"/>
    <w:rsid w:val="004E19A4"/>
  </w:style>
  <w:style w:type="character" w:customStyle="1" w:styleId="wpvisitcount">
    <w:name w:val="wp_visitcount"/>
    <w:basedOn w:val="a0"/>
    <w:rsid w:val="004E19A4"/>
  </w:style>
  <w:style w:type="paragraph" w:styleId="a3">
    <w:name w:val="Normal (Web)"/>
    <w:basedOn w:val="a"/>
    <w:uiPriority w:val="99"/>
    <w:semiHidden/>
    <w:unhideWhenUsed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19A4"/>
    <w:rPr>
      <w:b/>
      <w:bCs/>
    </w:rPr>
  </w:style>
  <w:style w:type="character" w:styleId="a5">
    <w:name w:val="Hyperlink"/>
    <w:basedOn w:val="a0"/>
    <w:uiPriority w:val="99"/>
    <w:unhideWhenUsed/>
    <w:rsid w:val="004E19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19A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19A4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C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C23B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C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C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5</cp:revision>
  <dcterms:created xsi:type="dcterms:W3CDTF">2022-05-18T02:37:00Z</dcterms:created>
  <dcterms:modified xsi:type="dcterms:W3CDTF">2022-05-18T06:25:00Z</dcterms:modified>
</cp:coreProperties>
</file>